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黑体"/>
          <w:sz w:val="56"/>
          <w:szCs w:val="32"/>
        </w:rPr>
      </w:pPr>
    </w:p>
    <w:p>
      <w:pPr>
        <w:jc w:val="center"/>
        <w:rPr>
          <w:rFonts w:hint="eastAsia" w:ascii="方正小标宋简体" w:hAnsi="黑体" w:eastAsia="方正小标宋简体" w:cs="黑体"/>
          <w:sz w:val="56"/>
          <w:szCs w:val="32"/>
        </w:rPr>
      </w:pPr>
    </w:p>
    <w:p>
      <w:pPr>
        <w:jc w:val="center"/>
        <w:rPr>
          <w:rFonts w:hint="eastAsia" w:ascii="方正小标宋简体" w:hAnsi="黑体" w:eastAsia="方正小标宋简体" w:cs="黑体"/>
          <w:sz w:val="56"/>
          <w:szCs w:val="32"/>
        </w:rPr>
      </w:pPr>
    </w:p>
    <w:p>
      <w:pPr>
        <w:jc w:val="center"/>
        <w:rPr>
          <w:rFonts w:hint="eastAsia" w:ascii="方正小标宋简体" w:hAnsi="黑体" w:eastAsia="方正小标宋简体" w:cs="黑体"/>
          <w:sz w:val="56"/>
          <w:szCs w:val="32"/>
        </w:rPr>
      </w:pPr>
      <w:r>
        <w:rPr>
          <w:rFonts w:hint="eastAsia" w:ascii="方正小标宋简体" w:hAnsi="黑体" w:eastAsia="方正小标宋简体" w:cs="黑体"/>
          <w:sz w:val="56"/>
          <w:szCs w:val="32"/>
        </w:rPr>
        <w:t>深圳市瓶装燃气行业自律公约</w:t>
      </w:r>
    </w:p>
    <w:p>
      <w:pPr>
        <w:ind w:firstLine="848" w:firstLineChars="212"/>
        <w:jc w:val="center"/>
        <w:rPr>
          <w:rFonts w:hint="eastAsia" w:ascii="方正小标宋简体" w:hAnsi="黑体" w:eastAsia="方正小标宋简体" w:cs="黑体"/>
          <w:sz w:val="40"/>
          <w:szCs w:val="32"/>
        </w:rPr>
      </w:pPr>
    </w:p>
    <w:p>
      <w:pPr>
        <w:ind w:firstLine="0" w:firstLineChars="0"/>
        <w:jc w:val="center"/>
        <w:rPr>
          <w:rFonts w:hint="eastAsia" w:ascii="方正小标宋简体" w:hAnsi="黑体" w:eastAsia="方正小标宋简体" w:cs="黑体"/>
          <w:sz w:val="40"/>
          <w:szCs w:val="32"/>
        </w:rPr>
      </w:pPr>
      <w:r>
        <w:rPr>
          <w:rFonts w:hint="eastAsia" w:ascii="方正小标宋简体" w:hAnsi="黑体" w:eastAsia="方正小标宋简体" w:cs="黑体"/>
          <w:sz w:val="40"/>
          <w:szCs w:val="32"/>
        </w:rPr>
        <w:t>（</w:t>
      </w:r>
      <w:r>
        <w:rPr>
          <w:rFonts w:hint="eastAsia" w:ascii="方正小标宋简体" w:hAnsi="黑体" w:eastAsia="方正小标宋简体" w:cs="黑体"/>
          <w:sz w:val="40"/>
          <w:szCs w:val="32"/>
          <w:lang w:eastAsia="zh-CN"/>
        </w:rPr>
        <w:t>讨论</w:t>
      </w:r>
      <w:r>
        <w:rPr>
          <w:rFonts w:hint="eastAsia" w:ascii="方正小标宋简体" w:hAnsi="黑体" w:eastAsia="方正小标宋简体" w:cs="黑体"/>
          <w:sz w:val="40"/>
          <w:szCs w:val="32"/>
        </w:rPr>
        <w:t>稿）</w:t>
      </w: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848" w:firstLineChars="212"/>
        <w:jc w:val="center"/>
        <w:rPr>
          <w:rFonts w:hint="eastAsia" w:ascii="方正小标宋简体" w:hAnsi="黑体" w:eastAsia="方正小标宋简体" w:cs="黑体"/>
          <w:sz w:val="40"/>
          <w:szCs w:val="32"/>
        </w:rPr>
      </w:pPr>
    </w:p>
    <w:p>
      <w:pPr>
        <w:ind w:firstLine="593" w:firstLineChars="212"/>
        <w:jc w:val="center"/>
        <w:rPr>
          <w:rFonts w:hint="eastAsia"/>
          <w:sz w:val="28"/>
          <w:szCs w:val="28"/>
        </w:rPr>
      </w:pPr>
      <w:r>
        <w:rPr>
          <w:rFonts w:hint="eastAsia"/>
          <w:sz w:val="28"/>
          <w:szCs w:val="28"/>
        </w:rPr>
        <w:t>深圳市燃气行业协会</w:t>
      </w:r>
    </w:p>
    <w:p>
      <w:pPr>
        <w:ind w:firstLine="593" w:firstLineChars="212"/>
        <w:jc w:val="center"/>
        <w:rPr>
          <w:rFonts w:hint="eastAsia"/>
          <w:sz w:val="28"/>
          <w:szCs w:val="28"/>
        </w:rPr>
      </w:pPr>
      <w:r>
        <w:rPr>
          <w:rFonts w:hint="eastAsia"/>
          <w:sz w:val="28"/>
          <w:szCs w:val="28"/>
        </w:rPr>
        <w:t>2020年</w:t>
      </w:r>
      <w:r>
        <w:rPr>
          <w:rFonts w:hint="eastAsia"/>
          <w:sz w:val="28"/>
          <w:szCs w:val="28"/>
          <w:lang w:val="en-US" w:eastAsia="zh-CN"/>
        </w:rPr>
        <w:t>7</w:t>
      </w:r>
      <w:r>
        <w:rPr>
          <w:rFonts w:hint="eastAsia"/>
          <w:sz w:val="28"/>
          <w:szCs w:val="28"/>
        </w:rPr>
        <w:t>月</w:t>
      </w:r>
    </w:p>
    <w:p>
      <w:pPr>
        <w:pStyle w:val="2"/>
        <w:spacing w:line="360" w:lineRule="auto"/>
        <w:jc w:val="center"/>
        <w:rPr>
          <w:rFonts w:hint="eastAsia" w:asciiTheme="majorEastAsia" w:hAnsiTheme="majorEastAsia" w:eastAsiaTheme="majorEastAsia"/>
        </w:rPr>
      </w:pPr>
    </w:p>
    <w:p>
      <w:pPr>
        <w:pStyle w:val="2"/>
        <w:spacing w:line="360" w:lineRule="auto"/>
        <w:jc w:val="center"/>
        <w:rPr>
          <w:rFonts w:asciiTheme="majorEastAsia" w:hAnsiTheme="majorEastAsia" w:eastAsiaTheme="majorEastAsia"/>
          <w:color w:val="000000"/>
          <w:kern w:val="0"/>
          <w:sz w:val="18"/>
          <w:szCs w:val="18"/>
        </w:rPr>
      </w:pPr>
      <w:r>
        <w:rPr>
          <w:rFonts w:hint="eastAsia" w:asciiTheme="majorEastAsia" w:hAnsiTheme="majorEastAsia" w:eastAsiaTheme="majorEastAsia"/>
        </w:rPr>
        <w:t>深圳市瓶装燃气行业自律公约</w:t>
      </w:r>
    </w:p>
    <w:p>
      <w:pPr>
        <w:pStyle w:val="3"/>
        <w:spacing w:line="360" w:lineRule="auto"/>
        <w:jc w:val="center"/>
        <w:rPr>
          <w:rFonts w:asciiTheme="majorEastAsia" w:hAnsiTheme="majorEastAsia" w:eastAsiaTheme="majorEastAsia"/>
        </w:rPr>
      </w:pPr>
      <w:r>
        <w:rPr>
          <w:rFonts w:hint="eastAsia" w:asciiTheme="majorEastAsia" w:hAnsiTheme="majorEastAsia" w:eastAsiaTheme="majorEastAsia"/>
        </w:rPr>
        <w:t>第一章  总则</w:t>
      </w:r>
    </w:p>
    <w:p>
      <w:pPr>
        <w:pStyle w:val="20"/>
        <w:numPr>
          <w:ilvl w:val="0"/>
          <w:numId w:val="1"/>
        </w:numPr>
        <w:spacing w:line="360" w:lineRule="auto"/>
        <w:ind w:left="0" w:firstLine="641" w:firstLineChars="0"/>
        <w:rPr>
          <w:rFonts w:asciiTheme="majorEastAsia" w:hAnsiTheme="majorEastAsia" w:eastAsiaTheme="majorEastAsia"/>
          <w:sz w:val="32"/>
          <w:szCs w:val="32"/>
        </w:rPr>
      </w:pPr>
      <w:r>
        <w:rPr>
          <w:rFonts w:hint="eastAsia" w:asciiTheme="majorEastAsia" w:hAnsiTheme="majorEastAsia" w:eastAsiaTheme="majorEastAsia"/>
          <w:b/>
          <w:sz w:val="32"/>
          <w:szCs w:val="32"/>
        </w:rPr>
        <w:t xml:space="preserve"> </w:t>
      </w:r>
      <w:r>
        <w:rPr>
          <w:rFonts w:hint="eastAsia" w:asciiTheme="majorEastAsia" w:hAnsiTheme="majorEastAsia" w:eastAsiaTheme="majorEastAsia"/>
          <w:bCs/>
          <w:sz w:val="32"/>
          <w:szCs w:val="32"/>
        </w:rPr>
        <w:t>为加强深圳市瓶装燃气行业自律，</w:t>
      </w:r>
      <w:r>
        <w:rPr>
          <w:rFonts w:hint="eastAsia" w:cs="宋体" w:asciiTheme="majorEastAsia" w:hAnsiTheme="majorEastAsia" w:eastAsiaTheme="majorEastAsia"/>
          <w:kern w:val="0"/>
          <w:sz w:val="32"/>
          <w:szCs w:val="32"/>
        </w:rPr>
        <w:t>建立公平、公正、有序的供应保障、安全管理和优质服务体系，规范市场经营环境和秩序，营造公平竞争环境，维护瓶装燃气经营企业及用户正当权益，确保安全供气，保障社会和人民生命财产安全，提升瓶装燃气行业诚信经营形象，在深圳市燃气行业协会</w:t>
      </w:r>
      <w:r>
        <w:rPr>
          <w:rFonts w:hint="eastAsia" w:cs="宋体" w:asciiTheme="majorEastAsia" w:hAnsiTheme="majorEastAsia" w:eastAsiaTheme="majorEastAsia"/>
          <w:bCs/>
          <w:kern w:val="0"/>
          <w:sz w:val="32"/>
          <w:szCs w:val="32"/>
        </w:rPr>
        <w:t>倡导下</w:t>
      </w:r>
      <w:r>
        <w:rPr>
          <w:rFonts w:hint="eastAsia" w:cs="宋体" w:asciiTheme="majorEastAsia" w:hAnsiTheme="majorEastAsia" w:eastAsiaTheme="majorEastAsia"/>
          <w:kern w:val="0"/>
          <w:sz w:val="32"/>
          <w:szCs w:val="32"/>
        </w:rPr>
        <w:t>，依照《广东省燃气管理条例》、《深圳市燃气条例》等相关法律法规及规范标准要求，经过各瓶装燃气经营企业共同协商，制定深圳市瓶装液化气行业自律公约，并以本公约为基础构建瓶装燃气行业自我约束和相互监督机制</w:t>
      </w:r>
      <w:r>
        <w:rPr>
          <w:rFonts w:hint="eastAsia" w:cs="宋体" w:asciiTheme="majorEastAsia" w:hAnsiTheme="majorEastAsia" w:eastAsiaTheme="majorEastAsia"/>
          <w:bCs/>
          <w:kern w:val="0"/>
          <w:sz w:val="32"/>
          <w:szCs w:val="32"/>
        </w:rPr>
        <w:t>。</w:t>
      </w:r>
    </w:p>
    <w:p>
      <w:pPr>
        <w:pStyle w:val="20"/>
        <w:numPr>
          <w:ilvl w:val="0"/>
          <w:numId w:val="1"/>
        </w:numPr>
        <w:spacing w:line="360" w:lineRule="auto"/>
        <w:ind w:left="0" w:firstLine="641" w:firstLineChars="0"/>
        <w:rPr>
          <w:rFonts w:asciiTheme="majorEastAsia" w:hAnsiTheme="majorEastAsia" w:eastAsiaTheme="majorEastAsia"/>
          <w:sz w:val="32"/>
          <w:szCs w:val="32"/>
        </w:rPr>
      </w:pPr>
      <w:r>
        <w:rPr>
          <w:rFonts w:hint="eastAsia" w:asciiTheme="majorEastAsia" w:hAnsiTheme="majorEastAsia" w:eastAsiaTheme="majorEastAsia"/>
          <w:bCs/>
          <w:sz w:val="32"/>
          <w:szCs w:val="32"/>
        </w:rPr>
        <w:t xml:space="preserve"> 深圳市燃气协会(以下简称协会)是本公约的组</w:t>
      </w:r>
      <w:r>
        <w:rPr>
          <w:rFonts w:hint="eastAsia" w:asciiTheme="majorEastAsia" w:hAnsiTheme="majorEastAsia" w:eastAsiaTheme="majorEastAsia"/>
          <w:sz w:val="32"/>
          <w:szCs w:val="32"/>
        </w:rPr>
        <w:t xml:space="preserve">织、发布和协调机构，接受深圳市住房和建设局的指导和监督。  </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凡在深圳市行政区域范围内依法取得瓶装燃气经营许可，从事瓶装燃气经营活动的企业应当成为深圳市燃气协会会员，承诺遵守本公约，并同意随时接受其他会员企业和社会监督。  </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协会负责组织协调会员，检查公约的履行情况，有权将会员企业履行情况上报行业主管部门和向社会公布。</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瓶装燃气企业是燃气供应、安全管理的责任主体，以坚持“安全供气、优质服务”的工作方针，向社会提供符合国家质量和安全标准的瓶装燃气，并为用户提供优质的服务。</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会员企业应自觉遵守并严格执行国家、省、市有关燃气管理的法律法规、技术标准，依法经营，接受并服从行业主管部门的监督和管理，依法诚信规范经营，不断提升服务水平。</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会员企业、服务对象（用户）及社会公众均有权举报违反本公约的行为。协会应对举报的情况组织调查、核实，相关企业和人员应予以配合，及时、如实提供所需资料。</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会员均有权对协会组织实施本公约的公正性进行监督。</w:t>
      </w:r>
    </w:p>
    <w:p>
      <w:pPr>
        <w:pStyle w:val="3"/>
        <w:spacing w:line="360" w:lineRule="auto"/>
        <w:jc w:val="center"/>
        <w:rPr>
          <w:rFonts w:asciiTheme="majorEastAsia" w:hAnsiTheme="majorEastAsia" w:eastAsiaTheme="majorEastAsia"/>
        </w:rPr>
      </w:pPr>
      <w:r>
        <w:rPr>
          <w:rFonts w:hint="eastAsia" w:asciiTheme="majorEastAsia" w:hAnsiTheme="majorEastAsia" w:eastAsiaTheme="majorEastAsia"/>
        </w:rPr>
        <w:t>第二章  会员承诺自律行为</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按照《安全生产法》及《深圳市生产经营单位安全生产主体责任规定》（市政府令第308号）的要求建立健全本企业安全生产管理机构，完善企业安全生产责任体系，配置足够的安全管理人员，落实安全生产管理主体责任。</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 遵守市场竞争规则，依法经营，廉洁自律，杜绝商业贿赂和其他形式的经济犯罪行为，维护市场秩序和行业正气。</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瓶装燃气灌装场站、供应站及服务点、配送服务部等分支机构均应依法取得经营许可（其中供应站应经辖区燃气主管部门审批核准，服务点、服务部应上报辖区燃气主管部门备案）后才能开展相关经营活动。</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会员企业或其分支机构在停业、歇业之前应取得所辖燃气主管部门批准，并对供应范围内的用户作出妥善安排。</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与每一位员工（含分支机构）签订劳动合同，及时缴纳相关社会保险（五险一金），及时发放劳保用品，保障员工合法权益。</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组织每一位员工开展三级教育和继续教育（包括但不局限于岗位风险告知、技能操作和优质服务等内容）。其中涉及安全管理、气瓶充装、抢维修和瓶装气配送等人员须经培训并考核合格，取得相应证书后方能从事相关工作。</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【正面清单】会员企业在经营过程中应遵守下列行为规范：</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bCs/>
          <w:sz w:val="32"/>
          <w:szCs w:val="32"/>
        </w:rPr>
        <w:t>树立企业形象，统一本企业全市送气、抢维修服务及投诉受理渠道（包括但不限电话、网站、APP或微信等），经备案后向社会公布</w:t>
      </w:r>
      <w:r>
        <w:rPr>
          <w:rFonts w:hint="eastAsia" w:asciiTheme="majorEastAsia" w:hAnsiTheme="majorEastAsia" w:eastAsiaTheme="majorEastAsia"/>
          <w:bCs/>
          <w:sz w:val="32"/>
          <w:szCs w:val="32"/>
          <w:lang w:eastAsia="zh-CN"/>
        </w:rPr>
        <w:t>，</w:t>
      </w:r>
      <w:r>
        <w:rPr>
          <w:rFonts w:hint="eastAsia" w:asciiTheme="majorEastAsia" w:hAnsiTheme="majorEastAsia" w:eastAsiaTheme="majorEastAsia"/>
          <w:bCs/>
          <w:sz w:val="32"/>
          <w:szCs w:val="32"/>
        </w:rPr>
        <w:t>统一工装、统一标识（颜色）钢瓶、统一配送车辆（含电动车）标识、统一员工工牌与上岗证所属企业一致（简称：五统一）；</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使用</w:t>
      </w:r>
      <w:r>
        <w:rPr>
          <w:rFonts w:hint="eastAsia" w:asciiTheme="majorEastAsia" w:hAnsiTheme="majorEastAsia" w:eastAsiaTheme="majorEastAsia"/>
          <w:sz w:val="32"/>
          <w:szCs w:val="32"/>
          <w:lang w:val="en-US" w:eastAsia="zh-CN"/>
        </w:rPr>
        <w:t>带有二维码的</w:t>
      </w:r>
      <w:r>
        <w:rPr>
          <w:rFonts w:hint="eastAsia" w:asciiTheme="majorEastAsia" w:hAnsiTheme="majorEastAsia" w:eastAsiaTheme="majorEastAsia"/>
          <w:sz w:val="32"/>
          <w:szCs w:val="32"/>
        </w:rPr>
        <w:t>自有产权气瓶，气瓶信息（</w:t>
      </w:r>
      <w:r>
        <w:rPr>
          <w:rFonts w:hint="eastAsia" w:asciiTheme="majorEastAsia" w:hAnsiTheme="majorEastAsia" w:eastAsiaTheme="majorEastAsia"/>
          <w:bCs/>
          <w:sz w:val="32"/>
          <w:szCs w:val="32"/>
        </w:rPr>
        <w:t>包括但不限</w:t>
      </w:r>
      <w:r>
        <w:rPr>
          <w:rFonts w:hint="eastAsia" w:asciiTheme="majorEastAsia" w:hAnsiTheme="majorEastAsia" w:eastAsiaTheme="majorEastAsia"/>
          <w:sz w:val="32"/>
          <w:szCs w:val="32"/>
        </w:rPr>
        <w:t>品牌、钢码及制造日期等）清晰真实，</w:t>
      </w:r>
      <w:r>
        <w:rPr>
          <w:rFonts w:hint="eastAsia" w:cs="仿宋" w:asciiTheme="majorEastAsia" w:hAnsiTheme="majorEastAsia" w:eastAsiaTheme="majorEastAsia"/>
          <w:color w:val="000000" w:themeColor="text1"/>
          <w:kern w:val="0"/>
          <w:sz w:val="32"/>
          <w:szCs w:val="32"/>
          <w14:textFill>
            <w14:solidFill>
              <w14:schemeClr w14:val="tx1"/>
            </w14:solidFill>
          </w14:textFill>
        </w:rPr>
        <w:t>在气瓶显著位置涂敷本企业名称、</w:t>
      </w:r>
      <w:r>
        <w:rPr>
          <w:rFonts w:hint="eastAsia" w:asciiTheme="majorEastAsia" w:hAnsiTheme="majorEastAsia" w:eastAsiaTheme="majorEastAsia"/>
          <w:bCs/>
          <w:sz w:val="32"/>
          <w:szCs w:val="32"/>
        </w:rPr>
        <w:t>统一</w:t>
      </w:r>
      <w:r>
        <w:rPr>
          <w:rFonts w:hint="eastAsia" w:cs="仿宋" w:asciiTheme="majorEastAsia" w:hAnsiTheme="majorEastAsia" w:eastAsiaTheme="majorEastAsia"/>
          <w:color w:val="000000" w:themeColor="text1"/>
          <w:kern w:val="0"/>
          <w:sz w:val="32"/>
          <w:szCs w:val="32"/>
          <w14:textFill>
            <w14:solidFill>
              <w14:schemeClr w14:val="tx1"/>
            </w14:solidFill>
          </w14:textFill>
        </w:rPr>
        <w:t>电话和下次检验日期等信息，钢瓶定期检验标志完好有效，</w:t>
      </w:r>
      <w:r>
        <w:rPr>
          <w:rFonts w:hint="eastAsia" w:asciiTheme="majorEastAsia" w:hAnsiTheme="majorEastAsia" w:eastAsiaTheme="majorEastAsia"/>
          <w:sz w:val="32"/>
          <w:szCs w:val="32"/>
        </w:rPr>
        <w:t>新购和检验气瓶及时准确录入</w:t>
      </w:r>
      <w:r>
        <w:rPr>
          <w:rFonts w:hint="eastAsia" w:asciiTheme="majorEastAsia" w:hAnsiTheme="majorEastAsia" w:eastAsiaTheme="majorEastAsia"/>
          <w:sz w:val="32"/>
          <w:szCs w:val="32"/>
          <w:lang w:eastAsia="zh-CN"/>
        </w:rPr>
        <w:t>“</w:t>
      </w:r>
      <w:r>
        <w:rPr>
          <w:rFonts w:hint="eastAsia" w:asciiTheme="majorEastAsia" w:hAnsiTheme="majorEastAsia" w:eastAsiaTheme="majorEastAsia"/>
          <w:sz w:val="32"/>
          <w:szCs w:val="32"/>
          <w:lang w:val="en-US" w:eastAsia="zh-CN"/>
        </w:rPr>
        <w:t>深圳市瓶装气信息化监管</w:t>
      </w:r>
      <w:r>
        <w:rPr>
          <w:rFonts w:hint="eastAsia" w:asciiTheme="majorEastAsia" w:hAnsiTheme="majorEastAsia" w:eastAsiaTheme="majorEastAsia"/>
          <w:sz w:val="32"/>
          <w:szCs w:val="32"/>
        </w:rPr>
        <w:t>系统</w:t>
      </w:r>
      <w:r>
        <w:rPr>
          <w:rFonts w:hint="eastAsia" w:asciiTheme="majorEastAsia" w:hAnsiTheme="majorEastAsia" w:eastAsiaTheme="majorEastAsia"/>
          <w:sz w:val="32"/>
          <w:szCs w:val="32"/>
          <w:lang w:eastAsia="zh-CN"/>
        </w:rPr>
        <w:t>”</w:t>
      </w:r>
      <w:r>
        <w:rPr>
          <w:rFonts w:hint="eastAsia" w:asciiTheme="majorEastAsia" w:hAnsiTheme="majorEastAsia" w:eastAsiaTheme="majorEastAsia"/>
          <w:sz w:val="32"/>
          <w:szCs w:val="32"/>
        </w:rPr>
        <w:t>，保证所有在用气瓶信息溯源可查；</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逐瓶扫码（二维码）充装，气瓶配送实行实名登记，保证气瓶充装登记出库、重瓶配送到户及用户空瓶回收全过程各节点记录溯源可查；</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不销售、储存、运输、回收非自有产权气瓶；</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重点部位（场站车辆出入口、储罐区、充装区）安装视频监控设备，保证视频采集、图像记录及通讯传输运行正常，录像资料保存时间不少于90天；</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按照规定对从事瓶装燃气（危险货物）运输的车辆办理登记备案手续，规范瓶装燃气配送车辆（含电动车）的使用、停放管理，保证车辆状态完好、维护保养及时，车辆使用人员遵守交通法规；</w:t>
      </w:r>
    </w:p>
    <w:p>
      <w:pPr>
        <w:numPr>
          <w:ilvl w:val="0"/>
          <w:numId w:val="2"/>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建立健全用户档案管理制度，实名登记用户信息。与商业用户签订供用气合同，采用《深圳市瓶装燃气商业用户供气合同》示范样本</w:t>
      </w:r>
      <w:r>
        <w:rPr>
          <w:rFonts w:hint="eastAsia" w:asciiTheme="majorEastAsia" w:hAnsiTheme="majorEastAsia" w:eastAsiaTheme="majorEastAsia"/>
          <w:sz w:val="32"/>
          <w:szCs w:val="32"/>
          <w:lang w:eastAsia="zh-CN"/>
        </w:rPr>
        <w:t>；</w:t>
      </w:r>
    </w:p>
    <w:p>
      <w:pPr>
        <w:numPr>
          <w:ilvl w:val="0"/>
          <w:numId w:val="2"/>
        </w:numPr>
        <w:spacing w:line="360" w:lineRule="auto"/>
        <w:rPr>
          <w:rFonts w:hint="default" w:asciiTheme="majorEastAsia" w:hAnsiTheme="majorEastAsia" w:eastAsiaTheme="majorEastAsia"/>
          <w:sz w:val="32"/>
          <w:szCs w:val="32"/>
          <w:lang w:val="en-US"/>
        </w:rPr>
      </w:pPr>
      <w:r>
        <w:rPr>
          <w:rFonts w:hint="eastAsia" w:asciiTheme="majorEastAsia" w:hAnsiTheme="majorEastAsia" w:eastAsiaTheme="majorEastAsia"/>
          <w:sz w:val="32"/>
          <w:szCs w:val="32"/>
        </w:rPr>
        <w:t>在向用户</w:t>
      </w:r>
      <w:r>
        <w:rPr>
          <w:rFonts w:hint="eastAsia" w:asciiTheme="majorEastAsia" w:hAnsiTheme="majorEastAsia" w:eastAsiaTheme="majorEastAsia"/>
          <w:sz w:val="32"/>
          <w:szCs w:val="32"/>
          <w:lang w:val="en-US" w:eastAsia="zh-CN"/>
        </w:rPr>
        <w:t>首次</w:t>
      </w:r>
      <w:r>
        <w:rPr>
          <w:rFonts w:hint="eastAsia" w:asciiTheme="majorEastAsia" w:hAnsiTheme="majorEastAsia" w:eastAsiaTheme="majorEastAsia"/>
          <w:sz w:val="32"/>
          <w:szCs w:val="32"/>
        </w:rPr>
        <w:t>供气前</w:t>
      </w:r>
      <w:r>
        <w:rPr>
          <w:rFonts w:hint="eastAsia" w:asciiTheme="majorEastAsia" w:hAnsiTheme="majorEastAsia" w:eastAsiaTheme="majorEastAsia"/>
          <w:sz w:val="32"/>
          <w:szCs w:val="32"/>
          <w:lang w:eastAsia="zh-CN"/>
        </w:rPr>
        <w:t>，</w:t>
      </w:r>
      <w:r>
        <w:rPr>
          <w:rFonts w:hint="eastAsia" w:asciiTheme="majorEastAsia" w:hAnsiTheme="majorEastAsia" w:eastAsiaTheme="majorEastAsia"/>
          <w:sz w:val="32"/>
          <w:szCs w:val="32"/>
        </w:rPr>
        <w:t>对存放钢瓶的场所和使用燃气的设施、场所</w:t>
      </w:r>
      <w:r>
        <w:rPr>
          <w:rFonts w:hint="eastAsia" w:asciiTheme="majorEastAsia" w:hAnsiTheme="majorEastAsia" w:eastAsiaTheme="majorEastAsia"/>
          <w:sz w:val="32"/>
          <w:szCs w:val="32"/>
          <w:lang w:val="en-US" w:eastAsia="zh-CN"/>
        </w:rPr>
        <w:t>进行</w:t>
      </w:r>
      <w:r>
        <w:rPr>
          <w:rFonts w:hint="eastAsia" w:asciiTheme="majorEastAsia" w:hAnsiTheme="majorEastAsia" w:eastAsiaTheme="majorEastAsia"/>
          <w:sz w:val="32"/>
          <w:szCs w:val="32"/>
        </w:rPr>
        <w:t>检查，</w:t>
      </w:r>
      <w:r>
        <w:rPr>
          <w:rFonts w:hint="eastAsia" w:asciiTheme="majorEastAsia" w:hAnsiTheme="majorEastAsia" w:eastAsiaTheme="majorEastAsia"/>
          <w:sz w:val="32"/>
          <w:szCs w:val="32"/>
          <w:lang w:val="en-US" w:eastAsia="zh-CN"/>
        </w:rPr>
        <w:t>对不符合安全用气条件的用户不提供供气服务；</w:t>
      </w:r>
    </w:p>
    <w:p>
      <w:pPr>
        <w:numPr>
          <w:ilvl w:val="-1"/>
          <w:numId w:val="0"/>
        </w:numPr>
        <w:spacing w:line="360" w:lineRule="auto"/>
        <w:ind w:firstLine="636" w:firstLineChars="199"/>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rPr>
        <w:t>在提供供气服务后，每12个月不少于一次对用户的燃气设施及用气环境进行安全检查，发现安全隐患应书面（电子）告知用户整改，并做好安检记录</w:t>
      </w:r>
      <w:r>
        <w:rPr>
          <w:rFonts w:hint="default" w:asciiTheme="majorEastAsia" w:hAnsiTheme="majorEastAsia" w:eastAsiaTheme="majorEastAsia"/>
          <w:sz w:val="32"/>
          <w:szCs w:val="32"/>
          <w:lang w:val="en-US"/>
        </w:rPr>
        <w:t>规范管理</w:t>
      </w:r>
      <w:r>
        <w:rPr>
          <w:rFonts w:hint="eastAsia" w:asciiTheme="majorEastAsia" w:hAnsiTheme="majorEastAsia" w:eastAsiaTheme="majorEastAsia"/>
          <w:sz w:val="32"/>
          <w:szCs w:val="32"/>
          <w:lang w:val="en-US" w:eastAsia="zh-CN"/>
        </w:rPr>
        <w:t>；</w:t>
      </w:r>
    </w:p>
    <w:p>
      <w:pPr>
        <w:numPr>
          <w:ilvl w:val="-1"/>
          <w:numId w:val="0"/>
        </w:numPr>
        <w:spacing w:line="360" w:lineRule="auto"/>
        <w:ind w:firstLine="636" w:firstLineChars="199"/>
        <w:rPr>
          <w:rFonts w:hint="default" w:asciiTheme="majorEastAsia" w:hAnsiTheme="majorEastAsia" w:eastAsiaTheme="majorEastAsia"/>
          <w:sz w:val="32"/>
          <w:szCs w:val="32"/>
          <w:lang w:val="en-US"/>
        </w:rPr>
      </w:pPr>
      <w:r>
        <w:rPr>
          <w:rFonts w:hint="eastAsia" w:asciiTheme="majorEastAsia" w:hAnsiTheme="majorEastAsia" w:eastAsiaTheme="majorEastAsia"/>
          <w:sz w:val="32"/>
          <w:szCs w:val="32"/>
          <w:lang w:val="en-US" w:eastAsia="zh-CN"/>
        </w:rPr>
        <w:t>安检标准采用T/SZGA 001-2018《瓶装液化石油气居民用户安全检查技术规程》。</w:t>
      </w:r>
    </w:p>
    <w:p>
      <w:pPr>
        <w:pStyle w:val="20"/>
        <w:numPr>
          <w:ilvl w:val="0"/>
          <w:numId w:val="1"/>
        </w:numPr>
        <w:spacing w:line="360" w:lineRule="auto"/>
        <w:ind w:left="0" w:firstLine="640"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 xml:space="preserve">【负面清单】会员企业在经营过程中应当禁止下列行为： </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购买或使用已篡改气瓶信息（已敷二维码）非自有产权气瓶的行为；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使用非产权、报废、翻新和过期未检气瓶的行为；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向他人出借相关经营资质开展瓶装燃气经营活动或向无证照经营者提供经营性气源的行为；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恶意加价、降价，扰乱燃气市场秩序，</w:t>
      </w:r>
      <w:r>
        <w:rPr>
          <w:rFonts w:hint="eastAsia" w:asciiTheme="majorEastAsia" w:hAnsiTheme="majorEastAsia" w:eastAsiaTheme="majorEastAsia"/>
          <w:sz w:val="32"/>
          <w:szCs w:val="32"/>
        </w:rPr>
        <w:t xml:space="preserve">以欺骗、行贿等手段获得客户信任，抢夺其他会员业务的行为；  </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故意遮挡视频监控设备、切断网络通讯造成远程监控失效或黑屏、监控设备长期故障、本地记录信息缺失（人为删除）的行为；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掺混、短斤缺两销售气瓶欺骗用户的行为；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恶意造谣、诋毁其他会员及从业人员的行为；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向已开通管道气的用户提供瓶装燃气的行为；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向存在严重隐患的用户提供供气的行为；</w:t>
      </w:r>
    </w:p>
    <w:p>
      <w:pPr>
        <w:numPr>
          <w:ilvl w:val="0"/>
          <w:numId w:val="3"/>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其他违反国家法律法规的行为。</w:t>
      </w:r>
    </w:p>
    <w:p>
      <w:pPr>
        <w:pStyle w:val="3"/>
        <w:spacing w:line="360" w:lineRule="auto"/>
        <w:jc w:val="center"/>
        <w:rPr>
          <w:rFonts w:asciiTheme="majorEastAsia" w:hAnsiTheme="majorEastAsia" w:eastAsiaTheme="majorEastAsia"/>
        </w:rPr>
      </w:pPr>
      <w:r>
        <w:rPr>
          <w:rFonts w:hint="eastAsia" w:asciiTheme="majorEastAsia" w:hAnsiTheme="majorEastAsia" w:eastAsiaTheme="majorEastAsia"/>
        </w:rPr>
        <w:t>第三章  实施与监督</w:t>
      </w:r>
    </w:p>
    <w:p>
      <w:pPr>
        <w:pStyle w:val="20"/>
        <w:numPr>
          <w:ilvl w:val="0"/>
          <w:numId w:val="1"/>
        </w:numPr>
        <w:spacing w:line="360" w:lineRule="auto"/>
        <w:ind w:left="0" w:firstLine="640"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成立深圳市瓶装液化气行业自律工作委员会，负责行业自律工作的指导和监督，</w:t>
      </w:r>
      <w:r>
        <w:rPr>
          <w:rFonts w:hint="eastAsia" w:cs="仿宋" w:asciiTheme="majorEastAsia" w:hAnsiTheme="majorEastAsia" w:eastAsiaTheme="majorEastAsia"/>
          <w:color w:val="000000"/>
          <w:kern w:val="0"/>
          <w:sz w:val="32"/>
          <w:szCs w:val="32"/>
        </w:rPr>
        <w:t>对涉嫌违约行为组织调查，对违约单位警告</w:t>
      </w:r>
      <w:r>
        <w:rPr>
          <w:rFonts w:hint="eastAsia" w:cs="仿宋" w:asciiTheme="majorEastAsia" w:hAnsiTheme="majorEastAsia" w:eastAsiaTheme="majorEastAsia"/>
          <w:color w:val="000000"/>
          <w:kern w:val="0"/>
          <w:sz w:val="32"/>
          <w:szCs w:val="32"/>
          <w:lang w:eastAsia="zh-CN"/>
        </w:rPr>
        <w:t>、</w:t>
      </w:r>
      <w:r>
        <w:rPr>
          <w:rFonts w:hint="eastAsia" w:cs="仿宋" w:asciiTheme="majorEastAsia" w:hAnsiTheme="majorEastAsia" w:eastAsiaTheme="majorEastAsia"/>
          <w:color w:val="000000"/>
          <w:kern w:val="0"/>
          <w:sz w:val="32"/>
          <w:szCs w:val="32"/>
        </w:rPr>
        <w:t>约谈、</w:t>
      </w:r>
      <w:r>
        <w:rPr>
          <w:rFonts w:hint="eastAsia" w:cs="仿宋" w:asciiTheme="majorEastAsia" w:hAnsiTheme="majorEastAsia" w:eastAsiaTheme="majorEastAsia"/>
          <w:color w:val="000000"/>
          <w:kern w:val="0"/>
          <w:sz w:val="32"/>
          <w:szCs w:val="32"/>
          <w:lang w:eastAsia="zh-CN"/>
        </w:rPr>
        <w:t>通报</w:t>
      </w:r>
      <w:r>
        <w:rPr>
          <w:rFonts w:hint="eastAsia" w:cs="仿宋" w:asciiTheme="majorEastAsia" w:hAnsiTheme="majorEastAsia" w:eastAsiaTheme="majorEastAsia"/>
          <w:color w:val="000000"/>
          <w:kern w:val="0"/>
          <w:sz w:val="32"/>
          <w:szCs w:val="32"/>
        </w:rPr>
        <w:t>，情节严重的如实上报行业主管部门。</w:t>
      </w:r>
    </w:p>
    <w:p>
      <w:pPr>
        <w:widowControl/>
        <w:numPr>
          <w:ilvl w:val="0"/>
          <w:numId w:val="4"/>
        </w:numPr>
        <w:tabs>
          <w:tab w:val="left" w:pos="0"/>
        </w:tabs>
        <w:spacing w:line="360" w:lineRule="auto"/>
        <w:ind w:left="0" w:firstLine="640"/>
        <w:jc w:val="left"/>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color w:val="000000"/>
          <w:kern w:val="0"/>
          <w:sz w:val="32"/>
          <w:szCs w:val="32"/>
        </w:rPr>
        <w:t>自律工作委员会设主任1名，副主任若干名。成员为各瓶装气经营企业负责人</w:t>
      </w:r>
      <w:r>
        <w:rPr>
          <w:rFonts w:hint="eastAsia" w:cs="仿宋" w:asciiTheme="majorEastAsia" w:hAnsiTheme="majorEastAsia" w:eastAsiaTheme="majorEastAsia"/>
          <w:color w:val="000000"/>
          <w:kern w:val="0"/>
          <w:sz w:val="32"/>
          <w:szCs w:val="32"/>
          <w:lang w:eastAsia="zh-CN"/>
        </w:rPr>
        <w:t>；</w:t>
      </w:r>
    </w:p>
    <w:p>
      <w:pPr>
        <w:widowControl/>
        <w:numPr>
          <w:ilvl w:val="0"/>
          <w:numId w:val="4"/>
        </w:numPr>
        <w:tabs>
          <w:tab w:val="left" w:pos="0"/>
        </w:tabs>
        <w:spacing w:line="360" w:lineRule="auto"/>
        <w:ind w:left="0" w:firstLine="640"/>
        <w:jc w:val="left"/>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color w:val="000000"/>
          <w:kern w:val="0"/>
          <w:sz w:val="32"/>
          <w:szCs w:val="32"/>
        </w:rPr>
        <w:t>自律工作委员会下设办公室，接受举报及投诉，成员由各瓶装气经营企业指定专人组成（实行报备机制，人员不得随意变更），负责组织开展检查及监督工作，被检查单位应积极配合，不得以任何理由拒绝</w:t>
      </w:r>
      <w:r>
        <w:rPr>
          <w:rFonts w:hint="eastAsia" w:cs="仿宋" w:asciiTheme="majorEastAsia" w:hAnsiTheme="majorEastAsia" w:eastAsiaTheme="majorEastAsia"/>
          <w:color w:val="000000"/>
          <w:kern w:val="0"/>
          <w:sz w:val="32"/>
          <w:szCs w:val="32"/>
          <w:lang w:eastAsia="zh-CN"/>
        </w:rPr>
        <w:t>；</w:t>
      </w:r>
    </w:p>
    <w:p>
      <w:pPr>
        <w:widowControl/>
        <w:numPr>
          <w:ilvl w:val="0"/>
          <w:numId w:val="4"/>
        </w:numPr>
        <w:tabs>
          <w:tab w:val="left" w:pos="0"/>
        </w:tabs>
        <w:spacing w:line="360" w:lineRule="auto"/>
        <w:ind w:left="0" w:firstLine="640"/>
        <w:jc w:val="left"/>
        <w:rPr>
          <w:rFonts w:cs="仿宋" w:asciiTheme="majorEastAsia" w:hAnsiTheme="majorEastAsia" w:eastAsiaTheme="majorEastAsia"/>
          <w:color w:val="000000"/>
          <w:kern w:val="0"/>
          <w:sz w:val="32"/>
          <w:szCs w:val="32"/>
        </w:rPr>
      </w:pPr>
      <w:r>
        <w:rPr>
          <w:rFonts w:hint="eastAsia" w:cs="仿宋" w:asciiTheme="majorEastAsia" w:hAnsiTheme="majorEastAsia" w:eastAsiaTheme="majorEastAsia"/>
          <w:color w:val="000000"/>
          <w:kern w:val="0"/>
          <w:sz w:val="32"/>
          <w:szCs w:val="32"/>
        </w:rPr>
        <w:t>针对举报及投诉组织开展相应取证和调查工作（实行关联利益回避机制），协助行业主管部门对违规行为进行查处。</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建立“红黄牌”警示制度，根据企业违规情节的轻重及频次，对企业进行红、黄牌警示，在行业内进行通报，红、黄牌警示期为一年。</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经查实涉及未履行【正面清单】的行为处以黄牌警示，黄牌警示累积</w:t>
      </w:r>
      <w:r>
        <w:rPr>
          <w:rFonts w:hint="eastAsia" w:asciiTheme="majorEastAsia" w:hAnsiTheme="majorEastAsia" w:eastAsiaTheme="majorEastAsia"/>
          <w:bCs/>
          <w:sz w:val="32"/>
          <w:szCs w:val="32"/>
          <w:lang w:val="en-US" w:eastAsia="zh-CN"/>
        </w:rPr>
        <w:t>两</w:t>
      </w:r>
      <w:r>
        <w:rPr>
          <w:rFonts w:hint="eastAsia" w:asciiTheme="majorEastAsia" w:hAnsiTheme="majorEastAsia" w:eastAsiaTheme="majorEastAsia"/>
          <w:bCs/>
          <w:sz w:val="32"/>
          <w:szCs w:val="32"/>
        </w:rPr>
        <w:t>次，由行业自律工作委员会对相关企业负责人进行约谈，黄牌警示累积</w:t>
      </w:r>
      <w:r>
        <w:rPr>
          <w:rFonts w:hint="eastAsia" w:asciiTheme="majorEastAsia" w:hAnsiTheme="majorEastAsia" w:eastAsiaTheme="majorEastAsia"/>
          <w:bCs/>
          <w:sz w:val="32"/>
          <w:szCs w:val="32"/>
          <w:lang w:val="en-US" w:eastAsia="zh-CN"/>
        </w:rPr>
        <w:t>三</w:t>
      </w:r>
      <w:r>
        <w:rPr>
          <w:rFonts w:hint="eastAsia" w:asciiTheme="majorEastAsia" w:hAnsiTheme="majorEastAsia" w:eastAsiaTheme="majorEastAsia"/>
          <w:bCs/>
          <w:sz w:val="32"/>
          <w:szCs w:val="32"/>
        </w:rPr>
        <w:t>次，</w:t>
      </w:r>
      <w:r>
        <w:rPr>
          <w:rFonts w:hint="eastAsia" w:asciiTheme="majorEastAsia" w:hAnsiTheme="majorEastAsia" w:eastAsiaTheme="majorEastAsia"/>
          <w:bCs/>
          <w:sz w:val="32"/>
          <w:szCs w:val="32"/>
          <w:lang w:val="en-US" w:eastAsia="zh-CN"/>
        </w:rPr>
        <w:t>处以红牌警示。</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经查实涉及【负面清单】的行为处以红牌警示，</w:t>
      </w:r>
      <w:r>
        <w:rPr>
          <w:rFonts w:hint="eastAsia" w:asciiTheme="majorEastAsia" w:hAnsiTheme="majorEastAsia" w:eastAsiaTheme="majorEastAsia"/>
          <w:bCs/>
          <w:sz w:val="32"/>
          <w:szCs w:val="32"/>
          <w:lang w:val="en-US" w:eastAsia="zh-CN"/>
        </w:rPr>
        <w:t>红牌警示一次，</w:t>
      </w:r>
      <w:r>
        <w:rPr>
          <w:rFonts w:hint="eastAsia" w:asciiTheme="majorEastAsia" w:hAnsiTheme="majorEastAsia" w:eastAsiaTheme="majorEastAsia"/>
          <w:bCs/>
          <w:sz w:val="32"/>
          <w:szCs w:val="32"/>
        </w:rPr>
        <w:t>由行业自律工作委员会</w:t>
      </w:r>
      <w:r>
        <w:rPr>
          <w:rFonts w:hint="eastAsia" w:asciiTheme="majorEastAsia" w:hAnsiTheme="majorEastAsia" w:eastAsiaTheme="majorEastAsia"/>
          <w:bCs/>
          <w:sz w:val="32"/>
          <w:szCs w:val="32"/>
          <w:lang w:val="en-US" w:eastAsia="zh-CN"/>
        </w:rPr>
        <w:t>组织市、区主管部门及会员企业负责人到涉事企业召开现场会议；对</w:t>
      </w:r>
      <w:r>
        <w:rPr>
          <w:rFonts w:hint="eastAsia" w:asciiTheme="majorEastAsia" w:hAnsiTheme="majorEastAsia" w:eastAsiaTheme="majorEastAsia"/>
          <w:bCs/>
          <w:sz w:val="32"/>
          <w:szCs w:val="32"/>
        </w:rPr>
        <w:t>相关企业</w:t>
      </w:r>
      <w:r>
        <w:rPr>
          <w:rFonts w:hint="eastAsia" w:asciiTheme="majorEastAsia" w:hAnsiTheme="majorEastAsia" w:eastAsiaTheme="majorEastAsia"/>
          <w:bCs/>
          <w:sz w:val="32"/>
          <w:szCs w:val="32"/>
          <w:lang w:val="en-US" w:eastAsia="zh-CN"/>
        </w:rPr>
        <w:t>三类人员进行全员培训；</w:t>
      </w:r>
      <w:r>
        <w:rPr>
          <w:rFonts w:hint="eastAsia" w:asciiTheme="majorEastAsia" w:hAnsiTheme="majorEastAsia" w:eastAsiaTheme="majorEastAsia"/>
          <w:bCs/>
          <w:sz w:val="32"/>
          <w:szCs w:val="32"/>
        </w:rPr>
        <w:t>向社会公示，同时上报行业主管部门。</w:t>
      </w:r>
    </w:p>
    <w:p>
      <w:pPr>
        <w:pStyle w:val="20"/>
        <w:numPr>
          <w:ilvl w:val="0"/>
          <w:numId w:val="1"/>
        </w:numPr>
        <w:spacing w:line="360" w:lineRule="auto"/>
        <w:ind w:left="0" w:firstLine="641"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企业的违规信息采集主要来源于：</w:t>
      </w:r>
    </w:p>
    <w:p>
      <w:pPr>
        <w:numPr>
          <w:ilvl w:val="0"/>
          <w:numId w:val="5"/>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市 、区燃气主管部门对企业出具的处罚决定；</w:t>
      </w:r>
    </w:p>
    <w:p>
      <w:pPr>
        <w:numPr>
          <w:ilvl w:val="0"/>
          <w:numId w:val="5"/>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自律工作小组在现场检查或通过视频监控发现的违规行为；</w:t>
      </w:r>
    </w:p>
    <w:p>
      <w:pPr>
        <w:numPr>
          <w:ilvl w:val="0"/>
          <w:numId w:val="5"/>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经核证属实的举报信息；</w:t>
      </w:r>
    </w:p>
    <w:p>
      <w:pPr>
        <w:numPr>
          <w:ilvl w:val="0"/>
          <w:numId w:val="5"/>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用户的有效投诉；</w:t>
      </w:r>
    </w:p>
    <w:p>
      <w:pPr>
        <w:numPr>
          <w:ilvl w:val="0"/>
          <w:numId w:val="5"/>
        </w:numPr>
        <w:spacing w:line="360" w:lineRule="auto"/>
        <w:rPr>
          <w:rFonts w:asciiTheme="majorEastAsia" w:hAnsiTheme="majorEastAsia" w:eastAsiaTheme="majorEastAsia"/>
          <w:sz w:val="32"/>
          <w:szCs w:val="32"/>
        </w:rPr>
      </w:pPr>
      <w:r>
        <w:rPr>
          <w:rFonts w:hint="eastAsia" w:asciiTheme="majorEastAsia" w:hAnsiTheme="majorEastAsia" w:eastAsiaTheme="majorEastAsia"/>
          <w:sz w:val="32"/>
          <w:szCs w:val="32"/>
        </w:rPr>
        <w:t>其他来源。</w:t>
      </w:r>
    </w:p>
    <w:p>
      <w:pPr>
        <w:pStyle w:val="20"/>
        <w:numPr>
          <w:ilvl w:val="0"/>
          <w:numId w:val="1"/>
        </w:numPr>
        <w:spacing w:line="360" w:lineRule="auto"/>
        <w:ind w:left="0" w:firstLine="641" w:firstLineChars="0"/>
        <w:rPr>
          <w:rFonts w:hint="eastAsia" w:asciiTheme="majorEastAsia" w:hAnsiTheme="majorEastAsia" w:eastAsiaTheme="majorEastAsia"/>
          <w:bCs/>
          <w:sz w:val="32"/>
          <w:szCs w:val="32"/>
          <w:lang w:val="en-US" w:eastAsia="zh-CN"/>
        </w:rPr>
      </w:pPr>
      <w:r>
        <w:rPr>
          <w:rFonts w:hint="eastAsia" w:asciiTheme="majorEastAsia" w:hAnsiTheme="majorEastAsia" w:eastAsiaTheme="majorEastAsia"/>
          <w:bCs/>
          <w:sz w:val="32"/>
          <w:szCs w:val="32"/>
        </w:rPr>
        <w:t>对瓶装燃气经营企业实施信用档案管理，对违约失信企业加大检查频次</w:t>
      </w:r>
      <w:r>
        <w:rPr>
          <w:rFonts w:hint="eastAsia" w:asciiTheme="majorEastAsia" w:hAnsiTheme="majorEastAsia" w:eastAsiaTheme="majorEastAsia"/>
          <w:bCs/>
          <w:sz w:val="32"/>
          <w:szCs w:val="32"/>
          <w:lang w:eastAsia="zh-CN"/>
        </w:rPr>
        <w:t>、</w:t>
      </w:r>
      <w:r>
        <w:rPr>
          <w:rFonts w:hint="eastAsia" w:asciiTheme="majorEastAsia" w:hAnsiTheme="majorEastAsia" w:eastAsiaTheme="majorEastAsia"/>
          <w:bCs/>
          <w:sz w:val="32"/>
          <w:szCs w:val="32"/>
          <w:lang w:val="en-US" w:eastAsia="zh-CN"/>
        </w:rPr>
        <w:t>增加培训频率，</w:t>
      </w:r>
      <w:r>
        <w:rPr>
          <w:rFonts w:hint="eastAsia" w:asciiTheme="majorEastAsia" w:hAnsiTheme="majorEastAsia" w:eastAsiaTheme="majorEastAsia"/>
          <w:bCs/>
          <w:sz w:val="32"/>
          <w:szCs w:val="32"/>
        </w:rPr>
        <w:t>并将违约失信行为向社会公示，违约记录纳入</w:t>
      </w:r>
      <w:r>
        <w:rPr>
          <w:rFonts w:hint="eastAsia" w:asciiTheme="majorEastAsia" w:hAnsiTheme="majorEastAsia" w:eastAsiaTheme="majorEastAsia"/>
          <w:bCs/>
          <w:sz w:val="32"/>
          <w:szCs w:val="32"/>
          <w:lang w:eastAsia="zh-CN"/>
        </w:rPr>
        <w:t>深圳市燃气行业信用档案体系，</w:t>
      </w:r>
      <w:r>
        <w:rPr>
          <w:rFonts w:hint="eastAsia" w:asciiTheme="majorEastAsia" w:hAnsiTheme="majorEastAsia" w:eastAsiaTheme="majorEastAsia"/>
          <w:bCs/>
          <w:sz w:val="32"/>
          <w:szCs w:val="32"/>
          <w:lang w:val="en-US" w:eastAsia="zh-CN"/>
        </w:rPr>
        <w:t>为主管部门在政策制定、行政管理、资源配置、社会管理、检查抽查、认证认可、招投标等工作中提供参考。</w:t>
      </w:r>
    </w:p>
    <w:p>
      <w:pPr>
        <w:pStyle w:val="3"/>
        <w:spacing w:line="360" w:lineRule="auto"/>
        <w:jc w:val="center"/>
        <w:rPr>
          <w:rFonts w:asciiTheme="majorEastAsia" w:hAnsiTheme="majorEastAsia" w:eastAsiaTheme="majorEastAsia"/>
        </w:rPr>
      </w:pPr>
      <w:r>
        <w:rPr>
          <w:rFonts w:hint="eastAsia" w:asciiTheme="majorEastAsia" w:hAnsiTheme="majorEastAsia" w:eastAsiaTheme="majorEastAsia"/>
        </w:rPr>
        <w:t>第四章  附则</w:t>
      </w:r>
    </w:p>
    <w:p>
      <w:pPr>
        <w:pStyle w:val="20"/>
        <w:numPr>
          <w:ilvl w:val="0"/>
          <w:numId w:val="1"/>
        </w:numPr>
        <w:spacing w:line="360" w:lineRule="auto"/>
        <w:ind w:left="0" w:firstLine="640"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本公约由协会理事会审议通过后实施。</w:t>
      </w:r>
    </w:p>
    <w:p>
      <w:pPr>
        <w:pStyle w:val="20"/>
        <w:numPr>
          <w:ilvl w:val="0"/>
          <w:numId w:val="1"/>
        </w:numPr>
        <w:spacing w:line="360" w:lineRule="auto"/>
        <w:ind w:left="0" w:firstLine="640"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本公约由协会负责解释</w:t>
      </w:r>
      <w:r>
        <w:rPr>
          <w:rFonts w:hint="eastAsia" w:asciiTheme="majorEastAsia" w:hAnsiTheme="majorEastAsia" w:eastAsiaTheme="majorEastAsia"/>
          <w:bCs/>
          <w:sz w:val="32"/>
          <w:szCs w:val="32"/>
          <w:lang w:val="en-US" w:eastAsia="zh-CN"/>
        </w:rPr>
        <w:t>及修订</w:t>
      </w:r>
      <w:r>
        <w:rPr>
          <w:rFonts w:hint="eastAsia" w:asciiTheme="majorEastAsia" w:hAnsiTheme="majorEastAsia" w:eastAsiaTheme="majorEastAsia"/>
          <w:bCs/>
          <w:sz w:val="32"/>
          <w:szCs w:val="32"/>
        </w:rPr>
        <w:t>。</w:t>
      </w:r>
    </w:p>
    <w:p>
      <w:pPr>
        <w:pStyle w:val="20"/>
        <w:numPr>
          <w:ilvl w:val="0"/>
          <w:numId w:val="1"/>
        </w:numPr>
        <w:spacing w:line="360" w:lineRule="auto"/>
        <w:ind w:firstLineChars="0"/>
        <w:rPr>
          <w:rFonts w:asciiTheme="majorEastAsia" w:hAnsiTheme="majorEastAsia" w:eastAsiaTheme="majorEastAsia"/>
          <w:bCs/>
          <w:sz w:val="32"/>
          <w:szCs w:val="32"/>
        </w:rPr>
      </w:pPr>
      <w:r>
        <w:rPr>
          <w:rFonts w:hint="eastAsia" w:asciiTheme="majorEastAsia" w:hAnsiTheme="majorEastAsia" w:eastAsiaTheme="majorEastAsia"/>
          <w:bCs/>
          <w:sz w:val="32"/>
          <w:szCs w:val="32"/>
        </w:rPr>
        <w:t>本公约自发布之日起生效。</w:t>
      </w:r>
    </w:p>
    <w:p>
      <w:pPr>
        <w:pStyle w:val="20"/>
        <w:widowControl w:val="0"/>
        <w:numPr>
          <w:ilvl w:val="0"/>
          <w:numId w:val="0"/>
        </w:numPr>
        <w:spacing w:line="360" w:lineRule="auto"/>
        <w:jc w:val="both"/>
        <w:rPr>
          <w:rFonts w:hint="eastAsia" w:asciiTheme="majorEastAsia" w:hAnsiTheme="majorEastAsia" w:eastAsiaTheme="majorEastAsia"/>
          <w:bCs/>
          <w:sz w:val="32"/>
          <w:szCs w:val="32"/>
        </w:rPr>
      </w:pPr>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r>
        <w:rPr>
          <w:rFonts w:hint="eastAsia" w:asciiTheme="majorEastAsia" w:hAnsiTheme="majorEastAsia" w:eastAsiaTheme="majorEastAsia"/>
          <w:bCs/>
          <w:sz w:val="32"/>
          <w:szCs w:val="32"/>
          <w:lang w:val="en-US" w:eastAsia="zh-CN"/>
        </w:rPr>
        <w:t>签约单位（盖章）：</w:t>
      </w:r>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bookmarkStart w:id="0" w:name="_GoBack"/>
      <w:bookmarkEnd w:id="0"/>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r>
        <w:rPr>
          <w:rFonts w:hint="eastAsia" w:asciiTheme="majorEastAsia" w:hAnsiTheme="majorEastAsia" w:eastAsiaTheme="majorEastAsia"/>
          <w:bCs/>
          <w:sz w:val="32"/>
          <w:szCs w:val="32"/>
          <w:lang w:val="en-US" w:eastAsia="zh-CN"/>
        </w:rPr>
        <w:t>法人签字：</w:t>
      </w:r>
    </w:p>
    <w:p>
      <w:pPr>
        <w:pStyle w:val="20"/>
        <w:widowControl w:val="0"/>
        <w:numPr>
          <w:ilvl w:val="0"/>
          <w:numId w:val="0"/>
        </w:numPr>
        <w:spacing w:line="360" w:lineRule="auto"/>
        <w:jc w:val="both"/>
        <w:rPr>
          <w:rFonts w:hint="eastAsia" w:asciiTheme="majorEastAsia" w:hAnsiTheme="majorEastAsia" w:eastAsiaTheme="majorEastAsia"/>
          <w:bCs/>
          <w:sz w:val="32"/>
          <w:szCs w:val="32"/>
          <w:lang w:val="en-US" w:eastAsia="zh-CN"/>
        </w:rPr>
      </w:pPr>
      <w:r>
        <w:rPr>
          <w:rFonts w:hint="eastAsia" w:asciiTheme="majorEastAsia" w:hAnsiTheme="majorEastAsia" w:eastAsiaTheme="majorEastAsia"/>
          <w:bCs/>
          <w:sz w:val="32"/>
          <w:szCs w:val="32"/>
          <w:lang w:val="en-US" w:eastAsia="zh-CN"/>
        </w:rPr>
        <w:t xml:space="preserve">                               </w:t>
      </w:r>
    </w:p>
    <w:p>
      <w:pPr>
        <w:pStyle w:val="20"/>
        <w:widowControl w:val="0"/>
        <w:numPr>
          <w:ilvl w:val="0"/>
          <w:numId w:val="0"/>
        </w:numPr>
        <w:spacing w:line="360" w:lineRule="auto"/>
        <w:ind w:firstLine="5760" w:firstLineChars="1800"/>
        <w:jc w:val="both"/>
        <w:rPr>
          <w:rFonts w:hint="eastAsia" w:asciiTheme="majorEastAsia" w:hAnsiTheme="majorEastAsia" w:eastAsiaTheme="majorEastAsia"/>
          <w:bCs/>
          <w:sz w:val="32"/>
          <w:szCs w:val="32"/>
          <w:lang w:val="en-US" w:eastAsia="zh-CN"/>
        </w:rPr>
      </w:pPr>
    </w:p>
    <w:p>
      <w:pPr>
        <w:pStyle w:val="20"/>
        <w:widowControl w:val="0"/>
        <w:numPr>
          <w:ilvl w:val="0"/>
          <w:numId w:val="0"/>
        </w:numPr>
        <w:spacing w:line="360" w:lineRule="auto"/>
        <w:ind w:firstLine="5760" w:firstLineChars="1800"/>
        <w:jc w:val="both"/>
        <w:rPr>
          <w:rFonts w:hint="eastAsia" w:asciiTheme="majorEastAsia" w:hAnsiTheme="majorEastAsia" w:eastAsiaTheme="majorEastAsia"/>
          <w:bCs/>
          <w:sz w:val="32"/>
          <w:szCs w:val="32"/>
          <w:lang w:val="en-US" w:eastAsia="zh-CN"/>
        </w:rPr>
      </w:pPr>
    </w:p>
    <w:p>
      <w:pPr>
        <w:pStyle w:val="20"/>
        <w:widowControl w:val="0"/>
        <w:numPr>
          <w:ilvl w:val="0"/>
          <w:numId w:val="0"/>
        </w:numPr>
        <w:spacing w:line="360" w:lineRule="auto"/>
        <w:ind w:firstLine="5760" w:firstLineChars="1800"/>
        <w:jc w:val="both"/>
        <w:rPr>
          <w:rFonts w:hint="default" w:asciiTheme="majorEastAsia" w:hAnsiTheme="majorEastAsia" w:eastAsiaTheme="majorEastAsia"/>
          <w:bCs/>
          <w:sz w:val="32"/>
          <w:szCs w:val="32"/>
          <w:lang w:val="en-US" w:eastAsia="zh-CN"/>
        </w:rPr>
      </w:pPr>
      <w:r>
        <w:rPr>
          <w:rFonts w:hint="eastAsia" w:asciiTheme="majorEastAsia" w:hAnsiTheme="majorEastAsia" w:eastAsiaTheme="majorEastAsia"/>
          <w:bCs/>
          <w:sz w:val="32"/>
          <w:szCs w:val="32"/>
          <w:lang w:val="en-US" w:eastAsia="zh-CN"/>
        </w:rPr>
        <w:t>日期：</w:t>
      </w:r>
    </w:p>
    <w:sectPr>
      <w:headerReference r:id="rId3" w:type="default"/>
      <w:footerReference r:id="rId4"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442EF3-175C-431B-A0EF-BADA36DC6C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1B0CFCF9-049E-4890-ACFA-2B8352E3C266}"/>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embedRegular r:id="rId3" w:fontKey="{2F30B008-9C61-4F99-BDF8-D4E2ED2353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FFFFC"/>
    <w:multiLevelType w:val="singleLevel"/>
    <w:tmpl w:val="95DFFFFC"/>
    <w:lvl w:ilvl="0" w:tentative="0">
      <w:start w:val="1"/>
      <w:numFmt w:val="chineseCounting"/>
      <w:suff w:val="nothing"/>
      <w:lvlText w:val="（%1）"/>
      <w:lvlJc w:val="left"/>
      <w:pPr>
        <w:ind w:left="0" w:firstLine="420"/>
      </w:pPr>
      <w:rPr>
        <w:rFonts w:hint="eastAsia"/>
      </w:rPr>
    </w:lvl>
  </w:abstractNum>
  <w:abstractNum w:abstractNumId="1">
    <w:nsid w:val="EF3549AE"/>
    <w:multiLevelType w:val="singleLevel"/>
    <w:tmpl w:val="EF3549AE"/>
    <w:lvl w:ilvl="0" w:tentative="0">
      <w:start w:val="1"/>
      <w:numFmt w:val="chineseCounting"/>
      <w:lvlText w:val="（%1）"/>
      <w:lvlJc w:val="left"/>
      <w:pPr>
        <w:ind w:left="420" w:hanging="420"/>
      </w:pPr>
      <w:rPr>
        <w:rFonts w:hint="eastAsia"/>
      </w:rPr>
    </w:lvl>
  </w:abstractNum>
  <w:abstractNum w:abstractNumId="2">
    <w:nsid w:val="1D643C85"/>
    <w:multiLevelType w:val="singleLevel"/>
    <w:tmpl w:val="1D643C85"/>
    <w:lvl w:ilvl="0" w:tentative="0">
      <w:start w:val="1"/>
      <w:numFmt w:val="chineseCounting"/>
      <w:suff w:val="nothing"/>
      <w:lvlText w:val="（%1）"/>
      <w:lvlJc w:val="left"/>
      <w:pPr>
        <w:ind w:left="0" w:firstLine="420"/>
      </w:pPr>
      <w:rPr>
        <w:rFonts w:hint="eastAsia"/>
      </w:rPr>
    </w:lvl>
  </w:abstractNum>
  <w:abstractNum w:abstractNumId="3">
    <w:nsid w:val="406B11AD"/>
    <w:multiLevelType w:val="multilevel"/>
    <w:tmpl w:val="406B11AD"/>
    <w:lvl w:ilvl="0" w:tentative="0">
      <w:start w:val="1"/>
      <w:numFmt w:val="chineseCountingThousand"/>
      <w:lvlText w:val="第%1条"/>
      <w:lvlJc w:val="left"/>
      <w:pPr>
        <w:ind w:left="1061" w:hanging="420"/>
      </w:pPr>
      <w:rPr>
        <w:rFonts w:hint="eastAsia"/>
        <w:b/>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4">
    <w:nsid w:val="5BF3AB91"/>
    <w:multiLevelType w:val="singleLevel"/>
    <w:tmpl w:val="5BF3AB91"/>
    <w:lvl w:ilvl="0" w:tentative="0">
      <w:start w:val="1"/>
      <w:numFmt w:val="chineseCounting"/>
      <w:suff w:val="nothing"/>
      <w:lvlText w:val="（%1）"/>
      <w:lvlJc w:val="left"/>
      <w:pPr>
        <w:ind w:left="0" w:firstLine="420"/>
      </w:pPr>
      <w:rPr>
        <w:rFonts w:hint="eastAsia"/>
        <w:lang w:val="en-U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F4"/>
    <w:rsid w:val="00012CED"/>
    <w:rsid w:val="00022279"/>
    <w:rsid w:val="0002639F"/>
    <w:rsid w:val="00027689"/>
    <w:rsid w:val="000277E1"/>
    <w:rsid w:val="00030089"/>
    <w:rsid w:val="00032268"/>
    <w:rsid w:val="00034D3E"/>
    <w:rsid w:val="00056489"/>
    <w:rsid w:val="00060200"/>
    <w:rsid w:val="00060B8C"/>
    <w:rsid w:val="0006697C"/>
    <w:rsid w:val="00074D47"/>
    <w:rsid w:val="00074F8D"/>
    <w:rsid w:val="0007780E"/>
    <w:rsid w:val="000823C2"/>
    <w:rsid w:val="00086902"/>
    <w:rsid w:val="000A3473"/>
    <w:rsid w:val="000A4A92"/>
    <w:rsid w:val="000B1421"/>
    <w:rsid w:val="000B3CDF"/>
    <w:rsid w:val="000D054A"/>
    <w:rsid w:val="000D5348"/>
    <w:rsid w:val="000E2291"/>
    <w:rsid w:val="000E2684"/>
    <w:rsid w:val="000F31B1"/>
    <w:rsid w:val="001125BA"/>
    <w:rsid w:val="00136F71"/>
    <w:rsid w:val="0015390D"/>
    <w:rsid w:val="0015442B"/>
    <w:rsid w:val="00171D06"/>
    <w:rsid w:val="00174BA5"/>
    <w:rsid w:val="001A309B"/>
    <w:rsid w:val="001A5A1B"/>
    <w:rsid w:val="001B169C"/>
    <w:rsid w:val="001B1889"/>
    <w:rsid w:val="001C10C9"/>
    <w:rsid w:val="001C5516"/>
    <w:rsid w:val="001D7FC2"/>
    <w:rsid w:val="001E04BA"/>
    <w:rsid w:val="001E4CFC"/>
    <w:rsid w:val="001E4D42"/>
    <w:rsid w:val="001F42CC"/>
    <w:rsid w:val="001F53A5"/>
    <w:rsid w:val="00202942"/>
    <w:rsid w:val="00214C21"/>
    <w:rsid w:val="002159FB"/>
    <w:rsid w:val="00220207"/>
    <w:rsid w:val="002258E2"/>
    <w:rsid w:val="002334A4"/>
    <w:rsid w:val="00236C19"/>
    <w:rsid w:val="00247959"/>
    <w:rsid w:val="002613D5"/>
    <w:rsid w:val="002660FB"/>
    <w:rsid w:val="00272A41"/>
    <w:rsid w:val="00280CE2"/>
    <w:rsid w:val="002831A2"/>
    <w:rsid w:val="00285E8D"/>
    <w:rsid w:val="00292340"/>
    <w:rsid w:val="002A18FD"/>
    <w:rsid w:val="002A7ACE"/>
    <w:rsid w:val="002C31A7"/>
    <w:rsid w:val="002D72F8"/>
    <w:rsid w:val="002E1740"/>
    <w:rsid w:val="002E2A20"/>
    <w:rsid w:val="002E5509"/>
    <w:rsid w:val="002E7536"/>
    <w:rsid w:val="002F0DF2"/>
    <w:rsid w:val="002F33EC"/>
    <w:rsid w:val="002F63F4"/>
    <w:rsid w:val="00310374"/>
    <w:rsid w:val="00325570"/>
    <w:rsid w:val="0032613C"/>
    <w:rsid w:val="00327CDB"/>
    <w:rsid w:val="00331D88"/>
    <w:rsid w:val="00346484"/>
    <w:rsid w:val="003564CD"/>
    <w:rsid w:val="00356F91"/>
    <w:rsid w:val="0037013D"/>
    <w:rsid w:val="0037082E"/>
    <w:rsid w:val="00374AE1"/>
    <w:rsid w:val="00376DE1"/>
    <w:rsid w:val="003827CA"/>
    <w:rsid w:val="003827D2"/>
    <w:rsid w:val="00382CF1"/>
    <w:rsid w:val="00386094"/>
    <w:rsid w:val="0039446F"/>
    <w:rsid w:val="00394A19"/>
    <w:rsid w:val="00395505"/>
    <w:rsid w:val="003B2789"/>
    <w:rsid w:val="003B40A5"/>
    <w:rsid w:val="003B488B"/>
    <w:rsid w:val="003B709B"/>
    <w:rsid w:val="003B7256"/>
    <w:rsid w:val="003B7265"/>
    <w:rsid w:val="003B7E87"/>
    <w:rsid w:val="003D3372"/>
    <w:rsid w:val="003D7752"/>
    <w:rsid w:val="003E22B3"/>
    <w:rsid w:val="003E2385"/>
    <w:rsid w:val="003F0A5E"/>
    <w:rsid w:val="003F5438"/>
    <w:rsid w:val="003F5F65"/>
    <w:rsid w:val="00400EEF"/>
    <w:rsid w:val="004023F5"/>
    <w:rsid w:val="0040571D"/>
    <w:rsid w:val="00407460"/>
    <w:rsid w:val="00407EC0"/>
    <w:rsid w:val="00407F68"/>
    <w:rsid w:val="00411DC9"/>
    <w:rsid w:val="00415E35"/>
    <w:rsid w:val="0041646B"/>
    <w:rsid w:val="0041691C"/>
    <w:rsid w:val="00426F1C"/>
    <w:rsid w:val="00430AD3"/>
    <w:rsid w:val="00435A10"/>
    <w:rsid w:val="004519CE"/>
    <w:rsid w:val="00455A18"/>
    <w:rsid w:val="00456E17"/>
    <w:rsid w:val="004718A5"/>
    <w:rsid w:val="00477014"/>
    <w:rsid w:val="00482BAB"/>
    <w:rsid w:val="0048490A"/>
    <w:rsid w:val="004878E9"/>
    <w:rsid w:val="00490D28"/>
    <w:rsid w:val="0049399C"/>
    <w:rsid w:val="004A21F9"/>
    <w:rsid w:val="004A4DDC"/>
    <w:rsid w:val="004B2A6D"/>
    <w:rsid w:val="004B3D7F"/>
    <w:rsid w:val="004B692D"/>
    <w:rsid w:val="004C0D67"/>
    <w:rsid w:val="004C7EC3"/>
    <w:rsid w:val="004D6917"/>
    <w:rsid w:val="004E5AE8"/>
    <w:rsid w:val="004F01DF"/>
    <w:rsid w:val="004F5ECB"/>
    <w:rsid w:val="00500BE0"/>
    <w:rsid w:val="00500DB2"/>
    <w:rsid w:val="005027EB"/>
    <w:rsid w:val="0050301E"/>
    <w:rsid w:val="00506216"/>
    <w:rsid w:val="005108F8"/>
    <w:rsid w:val="0052642B"/>
    <w:rsid w:val="00526B15"/>
    <w:rsid w:val="0053489B"/>
    <w:rsid w:val="00550D57"/>
    <w:rsid w:val="00552641"/>
    <w:rsid w:val="00565B5B"/>
    <w:rsid w:val="00565F08"/>
    <w:rsid w:val="00566BCC"/>
    <w:rsid w:val="005672C5"/>
    <w:rsid w:val="0057051B"/>
    <w:rsid w:val="00570DEC"/>
    <w:rsid w:val="00572077"/>
    <w:rsid w:val="005730E3"/>
    <w:rsid w:val="00573DAD"/>
    <w:rsid w:val="00574DB7"/>
    <w:rsid w:val="0057746E"/>
    <w:rsid w:val="00581BA1"/>
    <w:rsid w:val="0059146F"/>
    <w:rsid w:val="00594EC2"/>
    <w:rsid w:val="005A1CA4"/>
    <w:rsid w:val="005B1D9D"/>
    <w:rsid w:val="005C0823"/>
    <w:rsid w:val="005C0EC7"/>
    <w:rsid w:val="005C4852"/>
    <w:rsid w:val="005D4B16"/>
    <w:rsid w:val="005D7832"/>
    <w:rsid w:val="005E67F3"/>
    <w:rsid w:val="005F066C"/>
    <w:rsid w:val="005F153B"/>
    <w:rsid w:val="005F5082"/>
    <w:rsid w:val="00610B94"/>
    <w:rsid w:val="006123EF"/>
    <w:rsid w:val="00616D04"/>
    <w:rsid w:val="006203C8"/>
    <w:rsid w:val="00625F09"/>
    <w:rsid w:val="00641B27"/>
    <w:rsid w:val="00643353"/>
    <w:rsid w:val="00644995"/>
    <w:rsid w:val="00660E9B"/>
    <w:rsid w:val="00666B73"/>
    <w:rsid w:val="00672332"/>
    <w:rsid w:val="00683A1C"/>
    <w:rsid w:val="00684002"/>
    <w:rsid w:val="00684304"/>
    <w:rsid w:val="0069559C"/>
    <w:rsid w:val="00695B9D"/>
    <w:rsid w:val="006A38C2"/>
    <w:rsid w:val="006A4547"/>
    <w:rsid w:val="006B001B"/>
    <w:rsid w:val="006B2C4C"/>
    <w:rsid w:val="006B3699"/>
    <w:rsid w:val="006B74B3"/>
    <w:rsid w:val="006B77C0"/>
    <w:rsid w:val="006B7FA6"/>
    <w:rsid w:val="006C16B9"/>
    <w:rsid w:val="006C64AB"/>
    <w:rsid w:val="006D3ADF"/>
    <w:rsid w:val="006D51F1"/>
    <w:rsid w:val="006E76B4"/>
    <w:rsid w:val="006F0B03"/>
    <w:rsid w:val="006F61A5"/>
    <w:rsid w:val="006F6F86"/>
    <w:rsid w:val="00707B36"/>
    <w:rsid w:val="00710DC8"/>
    <w:rsid w:val="00721B5D"/>
    <w:rsid w:val="00724151"/>
    <w:rsid w:val="007252D2"/>
    <w:rsid w:val="007274CC"/>
    <w:rsid w:val="007308D0"/>
    <w:rsid w:val="007355FF"/>
    <w:rsid w:val="007360FF"/>
    <w:rsid w:val="007422B8"/>
    <w:rsid w:val="0074434E"/>
    <w:rsid w:val="00754D5D"/>
    <w:rsid w:val="00757BD3"/>
    <w:rsid w:val="007802A9"/>
    <w:rsid w:val="00797EC2"/>
    <w:rsid w:val="007B4397"/>
    <w:rsid w:val="007B48E0"/>
    <w:rsid w:val="007C0A9F"/>
    <w:rsid w:val="007C7048"/>
    <w:rsid w:val="007D6204"/>
    <w:rsid w:val="007E0727"/>
    <w:rsid w:val="0080481B"/>
    <w:rsid w:val="008124AD"/>
    <w:rsid w:val="00813362"/>
    <w:rsid w:val="008144FB"/>
    <w:rsid w:val="008217A6"/>
    <w:rsid w:val="0082530D"/>
    <w:rsid w:val="008276AB"/>
    <w:rsid w:val="00831886"/>
    <w:rsid w:val="008340DF"/>
    <w:rsid w:val="0084141A"/>
    <w:rsid w:val="0084406C"/>
    <w:rsid w:val="00845DAB"/>
    <w:rsid w:val="0085384A"/>
    <w:rsid w:val="00867A1A"/>
    <w:rsid w:val="00871A27"/>
    <w:rsid w:val="00890E87"/>
    <w:rsid w:val="00893445"/>
    <w:rsid w:val="008A253A"/>
    <w:rsid w:val="008C18A8"/>
    <w:rsid w:val="008C4528"/>
    <w:rsid w:val="008C7158"/>
    <w:rsid w:val="008C7A47"/>
    <w:rsid w:val="008D2AF1"/>
    <w:rsid w:val="008D3D68"/>
    <w:rsid w:val="008D78D0"/>
    <w:rsid w:val="008D7BE7"/>
    <w:rsid w:val="008E2BF7"/>
    <w:rsid w:val="008F2ABF"/>
    <w:rsid w:val="008F4AE8"/>
    <w:rsid w:val="00902098"/>
    <w:rsid w:val="00903A6C"/>
    <w:rsid w:val="00904F45"/>
    <w:rsid w:val="00910789"/>
    <w:rsid w:val="00915216"/>
    <w:rsid w:val="00916391"/>
    <w:rsid w:val="00916A83"/>
    <w:rsid w:val="009245C6"/>
    <w:rsid w:val="00926855"/>
    <w:rsid w:val="0096605E"/>
    <w:rsid w:val="00973C77"/>
    <w:rsid w:val="00974A1D"/>
    <w:rsid w:val="00974D70"/>
    <w:rsid w:val="00982824"/>
    <w:rsid w:val="00985438"/>
    <w:rsid w:val="00987F1B"/>
    <w:rsid w:val="0099081F"/>
    <w:rsid w:val="00993E8B"/>
    <w:rsid w:val="009A2CB0"/>
    <w:rsid w:val="009B759F"/>
    <w:rsid w:val="009C4452"/>
    <w:rsid w:val="009D5BA5"/>
    <w:rsid w:val="009E48D9"/>
    <w:rsid w:val="009E4D16"/>
    <w:rsid w:val="009E5B12"/>
    <w:rsid w:val="009F3DE8"/>
    <w:rsid w:val="00A015CB"/>
    <w:rsid w:val="00A1485E"/>
    <w:rsid w:val="00A23EDD"/>
    <w:rsid w:val="00A258C1"/>
    <w:rsid w:val="00A26062"/>
    <w:rsid w:val="00A261FA"/>
    <w:rsid w:val="00A319E2"/>
    <w:rsid w:val="00A32664"/>
    <w:rsid w:val="00A355DF"/>
    <w:rsid w:val="00A42BB8"/>
    <w:rsid w:val="00A716B9"/>
    <w:rsid w:val="00A72329"/>
    <w:rsid w:val="00A763BB"/>
    <w:rsid w:val="00A9421B"/>
    <w:rsid w:val="00AA6B96"/>
    <w:rsid w:val="00AB71F8"/>
    <w:rsid w:val="00AB7244"/>
    <w:rsid w:val="00AC299E"/>
    <w:rsid w:val="00AC6B5A"/>
    <w:rsid w:val="00AD23CE"/>
    <w:rsid w:val="00AD7560"/>
    <w:rsid w:val="00B222F6"/>
    <w:rsid w:val="00B354AC"/>
    <w:rsid w:val="00B36F4D"/>
    <w:rsid w:val="00B575AB"/>
    <w:rsid w:val="00B76BC5"/>
    <w:rsid w:val="00B810C3"/>
    <w:rsid w:val="00B82DA8"/>
    <w:rsid w:val="00B865C5"/>
    <w:rsid w:val="00B922E8"/>
    <w:rsid w:val="00B92C79"/>
    <w:rsid w:val="00BA1EE4"/>
    <w:rsid w:val="00BA7390"/>
    <w:rsid w:val="00BE0570"/>
    <w:rsid w:val="00BE18D9"/>
    <w:rsid w:val="00BE4A35"/>
    <w:rsid w:val="00BE4C52"/>
    <w:rsid w:val="00BF242E"/>
    <w:rsid w:val="00BF6A34"/>
    <w:rsid w:val="00C05182"/>
    <w:rsid w:val="00C07B54"/>
    <w:rsid w:val="00C15032"/>
    <w:rsid w:val="00C238FF"/>
    <w:rsid w:val="00C33AC9"/>
    <w:rsid w:val="00C35AB8"/>
    <w:rsid w:val="00C45933"/>
    <w:rsid w:val="00C46018"/>
    <w:rsid w:val="00C54D62"/>
    <w:rsid w:val="00C601BD"/>
    <w:rsid w:val="00C661F2"/>
    <w:rsid w:val="00C6715D"/>
    <w:rsid w:val="00C756BB"/>
    <w:rsid w:val="00C7597D"/>
    <w:rsid w:val="00C776D8"/>
    <w:rsid w:val="00C77F6D"/>
    <w:rsid w:val="00C851E9"/>
    <w:rsid w:val="00C949C9"/>
    <w:rsid w:val="00CA3EE1"/>
    <w:rsid w:val="00CB7B10"/>
    <w:rsid w:val="00CC3EDB"/>
    <w:rsid w:val="00CC6520"/>
    <w:rsid w:val="00CD056D"/>
    <w:rsid w:val="00CD2488"/>
    <w:rsid w:val="00CD5BE3"/>
    <w:rsid w:val="00CF4F24"/>
    <w:rsid w:val="00D10135"/>
    <w:rsid w:val="00D15E45"/>
    <w:rsid w:val="00D16AAD"/>
    <w:rsid w:val="00D202D0"/>
    <w:rsid w:val="00D23E31"/>
    <w:rsid w:val="00D31E78"/>
    <w:rsid w:val="00D378D8"/>
    <w:rsid w:val="00D50130"/>
    <w:rsid w:val="00D55B21"/>
    <w:rsid w:val="00D60C5A"/>
    <w:rsid w:val="00D823BD"/>
    <w:rsid w:val="00D96AA0"/>
    <w:rsid w:val="00DA57F1"/>
    <w:rsid w:val="00DA5953"/>
    <w:rsid w:val="00DB19A8"/>
    <w:rsid w:val="00DB4F6E"/>
    <w:rsid w:val="00DC32E9"/>
    <w:rsid w:val="00DC5198"/>
    <w:rsid w:val="00DC5244"/>
    <w:rsid w:val="00DD322C"/>
    <w:rsid w:val="00DF62BD"/>
    <w:rsid w:val="00DF6E04"/>
    <w:rsid w:val="00E01165"/>
    <w:rsid w:val="00E052B8"/>
    <w:rsid w:val="00E14FC3"/>
    <w:rsid w:val="00E16592"/>
    <w:rsid w:val="00E210AD"/>
    <w:rsid w:val="00E3735E"/>
    <w:rsid w:val="00E46AFE"/>
    <w:rsid w:val="00E50AE7"/>
    <w:rsid w:val="00E5338C"/>
    <w:rsid w:val="00E538E4"/>
    <w:rsid w:val="00E551CC"/>
    <w:rsid w:val="00E62237"/>
    <w:rsid w:val="00E71364"/>
    <w:rsid w:val="00E76218"/>
    <w:rsid w:val="00E803E3"/>
    <w:rsid w:val="00E84223"/>
    <w:rsid w:val="00E869A7"/>
    <w:rsid w:val="00E933CD"/>
    <w:rsid w:val="00E93408"/>
    <w:rsid w:val="00E939FE"/>
    <w:rsid w:val="00E94F94"/>
    <w:rsid w:val="00EA5D1C"/>
    <w:rsid w:val="00EA7C69"/>
    <w:rsid w:val="00EB29DB"/>
    <w:rsid w:val="00EB5020"/>
    <w:rsid w:val="00EB77B3"/>
    <w:rsid w:val="00EC1156"/>
    <w:rsid w:val="00EC13D2"/>
    <w:rsid w:val="00EC76F8"/>
    <w:rsid w:val="00ED5035"/>
    <w:rsid w:val="00ED546F"/>
    <w:rsid w:val="00EE0B77"/>
    <w:rsid w:val="00EE294F"/>
    <w:rsid w:val="00EE68C0"/>
    <w:rsid w:val="00EF4CBC"/>
    <w:rsid w:val="00EF50CF"/>
    <w:rsid w:val="00F11F78"/>
    <w:rsid w:val="00F153DA"/>
    <w:rsid w:val="00F30F5F"/>
    <w:rsid w:val="00F36484"/>
    <w:rsid w:val="00F410BA"/>
    <w:rsid w:val="00F42158"/>
    <w:rsid w:val="00F42F34"/>
    <w:rsid w:val="00F52A38"/>
    <w:rsid w:val="00F55E30"/>
    <w:rsid w:val="00F6686D"/>
    <w:rsid w:val="00F77C20"/>
    <w:rsid w:val="00F85702"/>
    <w:rsid w:val="00F93B1B"/>
    <w:rsid w:val="00F97433"/>
    <w:rsid w:val="00FA1DA6"/>
    <w:rsid w:val="00FA457C"/>
    <w:rsid w:val="00FA4AC6"/>
    <w:rsid w:val="00FA7A4E"/>
    <w:rsid w:val="00FB2E1F"/>
    <w:rsid w:val="00FC58BA"/>
    <w:rsid w:val="00FD1F14"/>
    <w:rsid w:val="00FD7A18"/>
    <w:rsid w:val="00FE28E2"/>
    <w:rsid w:val="00FE2F71"/>
    <w:rsid w:val="00FE4B9D"/>
    <w:rsid w:val="00FE64B0"/>
    <w:rsid w:val="00FF37B4"/>
    <w:rsid w:val="02886A32"/>
    <w:rsid w:val="02947081"/>
    <w:rsid w:val="06967568"/>
    <w:rsid w:val="0DC6213C"/>
    <w:rsid w:val="148200F1"/>
    <w:rsid w:val="163828EB"/>
    <w:rsid w:val="18E6247C"/>
    <w:rsid w:val="1E967117"/>
    <w:rsid w:val="20D31E30"/>
    <w:rsid w:val="22D56F53"/>
    <w:rsid w:val="24E937A8"/>
    <w:rsid w:val="2C4C324D"/>
    <w:rsid w:val="2D700BE6"/>
    <w:rsid w:val="356C501C"/>
    <w:rsid w:val="36126612"/>
    <w:rsid w:val="41B30071"/>
    <w:rsid w:val="48411081"/>
    <w:rsid w:val="4B896C0B"/>
    <w:rsid w:val="517F67C0"/>
    <w:rsid w:val="527845B8"/>
    <w:rsid w:val="5337209F"/>
    <w:rsid w:val="53B03BC0"/>
    <w:rsid w:val="55FD6B24"/>
    <w:rsid w:val="55FF0968"/>
    <w:rsid w:val="565D1B75"/>
    <w:rsid w:val="5B2E64C1"/>
    <w:rsid w:val="5B3A5255"/>
    <w:rsid w:val="5F244B95"/>
    <w:rsid w:val="686A7918"/>
    <w:rsid w:val="6B991ECA"/>
    <w:rsid w:val="6B9C3AEB"/>
    <w:rsid w:val="70FE6ECB"/>
    <w:rsid w:val="77992174"/>
    <w:rsid w:val="7C475A08"/>
    <w:rsid w:val="7DB8235D"/>
    <w:rsid w:val="7E07040C"/>
    <w:rsid w:val="7EF5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qFormat/>
    <w:uiPriority w:val="99"/>
    <w:rPr>
      <w:rFonts w:ascii="宋体"/>
      <w:sz w:val="18"/>
      <w:szCs w:val="18"/>
    </w:rPr>
  </w:style>
  <w:style w:type="paragraph" w:styleId="5">
    <w:name w:val="annotation text"/>
    <w:basedOn w:val="1"/>
    <w:semiHidden/>
    <w:qFormat/>
    <w:uiPriority w:val="0"/>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semiHidden/>
    <w:unhideWhenUsed/>
    <w:qFormat/>
    <w:uiPriority w:val="99"/>
    <w:pPr>
      <w:spacing w:beforeAutospacing="1" w:afterAutospacing="1"/>
      <w:jc w:val="left"/>
    </w:pPr>
    <w:rPr>
      <w:kern w:val="0"/>
      <w:sz w:val="24"/>
    </w:rPr>
  </w:style>
  <w:style w:type="paragraph" w:styleId="10">
    <w:name w:val="annotation subject"/>
    <w:basedOn w:val="5"/>
    <w:next w:val="5"/>
    <w:semiHidden/>
    <w:qFormat/>
    <w:uiPriority w:val="0"/>
    <w:rPr>
      <w:b/>
      <w:bCs/>
    </w:rPr>
  </w:style>
  <w:style w:type="character" w:styleId="13">
    <w:name w:val="page number"/>
    <w:basedOn w:val="12"/>
    <w:qFormat/>
    <w:uiPriority w:val="0"/>
  </w:style>
  <w:style w:type="character" w:styleId="14">
    <w:name w:val="annotation reference"/>
    <w:basedOn w:val="12"/>
    <w:semiHidden/>
    <w:qFormat/>
    <w:uiPriority w:val="0"/>
    <w:rPr>
      <w:sz w:val="21"/>
      <w:szCs w:val="21"/>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semiHidden/>
    <w:qFormat/>
    <w:uiPriority w:val="99"/>
    <w:rPr>
      <w:sz w:val="18"/>
      <w:szCs w:val="18"/>
    </w:rPr>
  </w:style>
  <w:style w:type="character" w:customStyle="1" w:styleId="17">
    <w:name w:val="批注框文本 Char"/>
    <w:basedOn w:val="12"/>
    <w:link w:val="6"/>
    <w:semiHidden/>
    <w:qFormat/>
    <w:uiPriority w:val="99"/>
    <w:rPr>
      <w:rFonts w:ascii="Times New Roman" w:hAnsi="Times New Roman" w:eastAsia="宋体" w:cs="Times New Roman"/>
      <w:sz w:val="18"/>
      <w:szCs w:val="18"/>
    </w:rPr>
  </w:style>
  <w:style w:type="character" w:customStyle="1" w:styleId="18">
    <w:name w:val="文档结构图 Char"/>
    <w:basedOn w:val="12"/>
    <w:link w:val="4"/>
    <w:semiHidden/>
    <w:qFormat/>
    <w:uiPriority w:val="99"/>
    <w:rPr>
      <w:rFonts w:ascii="宋体" w:hAnsi="Times New Roman"/>
      <w:kern w:val="2"/>
      <w:sz w:val="18"/>
      <w:szCs w:val="18"/>
    </w:rPr>
  </w:style>
  <w:style w:type="character" w:customStyle="1" w:styleId="19">
    <w:name w:val="标题 1 Char"/>
    <w:basedOn w:val="12"/>
    <w:link w:val="2"/>
    <w:qFormat/>
    <w:uiPriority w:val="9"/>
    <w:rPr>
      <w:rFonts w:ascii="Times New Roman" w:hAnsi="Times New Roman"/>
      <w:b/>
      <w:bCs/>
      <w:kern w:val="44"/>
      <w:sz w:val="44"/>
      <w:szCs w:val="44"/>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429</Words>
  <Characters>2446</Characters>
  <Lines>20</Lines>
  <Paragraphs>5</Paragraphs>
  <TotalTime>10</TotalTime>
  <ScaleCrop>false</ScaleCrop>
  <LinksUpToDate>false</LinksUpToDate>
  <CharactersWithSpaces>2870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2020-07-09T09:32:00Z</dcterms:created>
  <dc:creator>曹志阎</dc:creator>
  <cp:lastModifiedBy>史</cp:lastModifiedBy>
  <cp:lastPrinted>2014-06-05T05:19:00Z</cp:lastPrinted>
  <dcterms:modified xsi:type="dcterms:W3CDTF">2020-07-27T08:24:08Z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